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Домашнее задание по музыкальной грамоте 4 класс (4г) на 24.11.2020г.</w:t>
      </w:r>
    </w:p>
    <w:p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highlight w:val="red"/>
        </w:rPr>
        <w:t>Тональность до-диез минор</w:t>
      </w:r>
    </w:p>
    <w:p>
      <w:pPr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highlight w:val="red"/>
        </w:rPr>
        <w:t>До</w:t>
      </w:r>
      <w:r>
        <w:rPr>
          <w:rFonts w:ascii="Times New Roman" w:cs="Times New Roman" w:hAnsi="Times New Roman"/>
          <w:sz w:val="28"/>
          <w:szCs w:val="28"/>
          <w:highlight w:val="red"/>
        </w:rPr>
        <w:t>#</w:t>
      </w:r>
      <w:r>
        <w:rPr>
          <w:rFonts w:ascii="Times New Roman" w:cs="Times New Roman" w:hAnsi="Times New Roman"/>
          <w:sz w:val="28"/>
          <w:szCs w:val="28"/>
          <w:highlight w:val="red"/>
        </w:rPr>
        <w:t xml:space="preserve"> </w:t>
      </w:r>
      <w:r>
        <w:rPr>
          <w:rFonts w:ascii="Times New Roman" w:cs="Times New Roman" w:hAnsi="Times New Roman"/>
          <w:sz w:val="28"/>
          <w:szCs w:val="28"/>
          <w:highlight w:val="red"/>
        </w:rPr>
        <w:t>минор</w:t>
      </w:r>
      <w:r>
        <w:rPr>
          <w:rFonts w:ascii="Times New Roman" w:cs="Times New Roman" w:hAnsi="Times New Roman"/>
          <w:sz w:val="28"/>
          <w:szCs w:val="28"/>
          <w:highlight w:val="red"/>
        </w:rPr>
        <w:t xml:space="preserve"> -</w:t>
      </w:r>
      <w:r>
        <w:rPr>
          <w:rFonts w:ascii="Times New Roman" w:cs="Times New Roman" w:hAnsi="Times New Roman"/>
          <w:sz w:val="28"/>
          <w:szCs w:val="28"/>
          <w:highlight w:val="red"/>
        </w:rPr>
        <w:t xml:space="preserve"> минорный лад, тоника – </w:t>
      </w:r>
      <w:r>
        <w:rPr>
          <w:rFonts w:ascii="Times New Roman" w:cs="Times New Roman" w:hAnsi="Times New Roman"/>
          <w:sz w:val="28"/>
          <w:szCs w:val="28"/>
          <w:highlight w:val="red"/>
        </w:rPr>
        <w:t>до#</w:t>
      </w:r>
      <w:r>
        <w:rPr>
          <w:rFonts w:ascii="Times New Roman" w:cs="Times New Roman" w:hAnsi="Times New Roman"/>
          <w:sz w:val="28"/>
          <w:szCs w:val="28"/>
          <w:highlight w:val="red"/>
        </w:rPr>
        <w:t>. Четыре</w:t>
      </w:r>
      <w:r>
        <w:rPr>
          <w:rFonts w:ascii="Times New Roman" w:cs="Times New Roman" w:hAnsi="Times New Roman"/>
          <w:sz w:val="28"/>
          <w:szCs w:val="28"/>
          <w:highlight w:val="red"/>
        </w:rPr>
        <w:t xml:space="preserve"> знака при ключе </w:t>
      </w:r>
      <w:r>
        <w:rPr>
          <w:rFonts w:ascii="Times New Roman" w:cs="Times New Roman" w:hAnsi="Times New Roman"/>
          <w:sz w:val="28"/>
          <w:szCs w:val="28"/>
          <w:highlight w:val="red"/>
        </w:rPr>
        <w:t>фа#</w:t>
      </w:r>
      <w:r>
        <w:rPr>
          <w:rFonts w:ascii="Times New Roman" w:cs="Times New Roman" w:hAnsi="Times New Roman"/>
          <w:sz w:val="28"/>
          <w:szCs w:val="28"/>
          <w:highlight w:val="red"/>
        </w:rPr>
        <w:t xml:space="preserve">, </w:t>
      </w:r>
      <w:r>
        <w:rPr>
          <w:rFonts w:ascii="Times New Roman" w:cs="Times New Roman" w:hAnsi="Times New Roman"/>
          <w:sz w:val="28"/>
          <w:szCs w:val="28"/>
          <w:highlight w:val="red"/>
        </w:rPr>
        <w:t>до#</w:t>
      </w:r>
      <w:r>
        <w:rPr>
          <w:rFonts w:ascii="Times New Roman" w:cs="Times New Roman" w:hAnsi="Times New Roman"/>
          <w:sz w:val="28"/>
          <w:szCs w:val="28"/>
          <w:highlight w:val="red"/>
        </w:rPr>
        <w:t xml:space="preserve">, </w:t>
      </w:r>
      <w:r>
        <w:rPr>
          <w:rFonts w:ascii="Times New Roman" w:cs="Times New Roman" w:hAnsi="Times New Roman"/>
          <w:sz w:val="28"/>
          <w:szCs w:val="28"/>
          <w:highlight w:val="red"/>
        </w:rPr>
        <w:t>соль#</w:t>
      </w:r>
      <w:r>
        <w:rPr>
          <w:rFonts w:ascii="Times New Roman" w:cs="Times New Roman" w:hAnsi="Times New Roman"/>
          <w:sz w:val="28"/>
          <w:szCs w:val="28"/>
          <w:highlight w:val="red"/>
        </w:rPr>
        <w:t>,ре</w:t>
      </w:r>
      <w:r>
        <w:rPr>
          <w:rFonts w:ascii="Times New Roman" w:cs="Times New Roman" w:hAnsi="Times New Roman"/>
          <w:sz w:val="28"/>
          <w:szCs w:val="28"/>
          <w:highlight w:val="red"/>
          <w:lang w:val="en-US"/>
        </w:rPr>
        <w:t>#</w:t>
      </w:r>
      <w:r>
        <w:rPr>
          <w:rFonts w:ascii="Times New Roman" w:cs="Times New Roman" w:hAnsi="Times New Roman"/>
          <w:sz w:val="28"/>
          <w:szCs w:val="28"/>
          <w:highlight w:val="red"/>
        </w:rPr>
        <w:t>. Параллельная тональность Ми мажор.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Примеры ниже переписать в тетрадь:</w:t>
      </w:r>
    </w:p>
    <w:p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0" distR="0">
            <wp:extent cx="6645910" cy="7629525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/>
                    <pic:cNvPicPr/>
                  </pic:nvPicPr>
                  <pic:blipFill>
                    <a:blip r:embed="rId5"/>
                    <a:srcRect t="13871"/>
                    <a:stretch/>
                  </pic:blipFill>
                  <pic:spPr>
                    <a:xfrm>
                      <a:off x="0" y="0"/>
                      <a:ext cx="66459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sz w:val="28"/>
          <w:szCs w:val="28"/>
        </w:rPr>
      </w:pPr>
    </w:p>
    <w:p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highlight w:val="red"/>
        </w:rPr>
        <w:br w:type="textWrapping"/>
      </w:r>
      <w:r>
        <w:rPr>
          <w:rFonts w:ascii="Times New Roman" w:cs="Times New Roman" w:hAnsi="Times New Roman"/>
          <w:sz w:val="28"/>
          <w:szCs w:val="28"/>
          <w:highlight w:val="red"/>
        </w:rPr>
        <w:br w:type="textWrapping"/>
      </w:r>
      <w:r>
        <w:rPr>
          <w:rFonts w:ascii="Times New Roman" w:cs="Times New Roman" w:hAnsi="Times New Roman"/>
          <w:sz w:val="28"/>
          <w:szCs w:val="28"/>
          <w:highlight w:val="red"/>
        </w:rPr>
        <w:t>Биография Людвига ван Бетховена</w:t>
      </w:r>
    </w:p>
    <w:p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0" distR="0">
            <wp:extent cx="2857500" cy="2857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Людвиг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ван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 Бетховен (1770–1827 гг.) – великий немецкий композитор, пианист и дирижёр, представитель музыкального направления «венский классицизм». В последних его произведениях прослеживаются оттенки романтизма. Потеряв слух в 27 лет, Людвиг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ван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 Бетховен продолжил творить и писал во всех жанрах музыки своего времени.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Ранние годы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Бетховен родился предположительно 16 декабря (точно известна только дата его крещения – 17 декабря) 1770 года в городе Бонн в музыкальной семье.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С детства его стали обучать игре на органе, клавесине, скрипке, флейте.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Впервые серьезно заниматься с Людвигом стал композитор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Кристиан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Готлоб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Нефе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. Уже в 12 лет в биографии Бетховена появилась первая работа музыкальной направленности – помощник органиста при дворе. Бетховен изучал несколько языков, пытался сочинять музыку.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Бетховен любил читать, особенно популярными у него были древнегреческие авторы </w:t>
      </w:r>
      <w:r>
        <w:fldChar w:fldCharType="begin"/>
      </w:r>
      <w:r>
        <w:instrText xml:space="preserve">HYPERLINK "https://obrazovaka.ru/gomer.html" </w:instrText>
      </w:r>
      <w:r>
        <w:fldChar w:fldCharType="separate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>Гомер</w:t>
      </w:r>
      <w:r>
        <w:fldChar w:fldCharType="end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Плутарх, и более современные поэты </w:t>
      </w:r>
      <w:r>
        <w:fldChar w:fldCharType="begin"/>
      </w:r>
      <w:r>
        <w:instrText xml:space="preserve">HYPERLINK "https://obrazovaka.ru/alpha/s/shekspir-uilyam-shakespeare-william" </w:instrText>
      </w:r>
      <w:r>
        <w:fldChar w:fldCharType="separate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>Уильям Шекспир</w:t>
      </w:r>
      <w:r>
        <w:fldChar w:fldCharType="end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Гёте и </w:t>
      </w:r>
      <w:r>
        <w:fldChar w:fldCharType="begin"/>
      </w:r>
      <w:r>
        <w:instrText xml:space="preserve">HYPERLINK "https://obrazovaka.ru/friedrich-schiller.html" </w:instrText>
      </w:r>
      <w:r>
        <w:fldChar w:fldCharType="separate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>Фридрих Шиллер</w:t>
      </w:r>
      <w:r>
        <w:fldChar w:fldCharType="end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Начало творческого пути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После смерти матери в 1787 году он взял на себя материальные обязанности семьи. Людвиг Бетховен стал играть в оркестре, слушать университетские лекции.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Случайно столкнувшись в Бонне с Гайдном, Бетховен решает брать у него уроки.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Для этого он переезжает в Вену. Уже на этом этапе после прослушивания одной из импровизаций Бетховена великий</w:t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fldChar w:fldCharType="begin"/>
      </w:r>
      <w:r>
        <w:instrText xml:space="preserve">HYPERLINK "https://obrazovaka.ru/alpha/m/mocart-volfgang-amadej-mozart-wolfgang-amadeus" </w:instrText>
      </w:r>
      <w:r>
        <w:fldChar w:fldCharType="separate"/>
      </w:r>
      <w:r>
        <w:rPr>
          <w:rFonts w:ascii="Times New Roman" w:cs="Times New Roman" w:eastAsia="Times New Roman" w:hAnsi="Times New Roman"/>
          <w:color w:val="000000" w:themeColor="text1"/>
          <w:sz w:val="28"/>
          <w:szCs w:val="28"/>
          <w:lang w:eastAsia="ru-RU"/>
        </w:rPr>
        <w:t>Моцарт</w:t>
      </w:r>
      <w:r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сказал: «Он всех заставит говорить о себе!»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После некоторых попыток Гайдн направляет Бетховена на занятия к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Альбрехтсбергеру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. Затем учителем и наставником Бетховена стал Антонио Сальери.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Расцвет музыкальной карьеры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Гайдн кратко отметил, что музыка Бетховена была мрачной и странной. Однако в те годы виртуозная игра на пианино приносит Людвигу первую славу. Произведения Бетховена отличаются от классической игры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клавесинистов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. Там же, в Вене, были написаны знаменитые в будущем сочинения: “Лунная соната” Бетховена, “Патетическая соната”.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Грубый, самолюбивый на людях, композитор был очень открытым, доброжелательным по отношению к друзьям.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Творчество Бетховена следующих лет наполнено новыми произведениями: Первая, Вторая симфонии, «Творение Прометея», «Христос на Масличной горе».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Однако дальнейшая жизнь и работа Бетховена были осложнены развитием болезни уха –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тинита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Композитор уединяется в городе 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Гейлигенштадте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. Там он работает над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 xml:space="preserve"> Т</w:t>
      </w: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ретьей – Героической симфонией. Полная глухота отделяет Людвига от внешнего мира. Однако даже это событие не может заставить его прекратить сочинять. По мнению критиков, Третья симфония Бетховена полностью раскрывает его величайший талант.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Опера «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Фиделио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» ставится в Вене, Праге, Берлине.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Последние годы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highlight w:val="red"/>
          <w:lang w:eastAsia="ru-RU"/>
        </w:rPr>
        <w:t>В 1802–1812 годах Бетховен писал сонаты с особым желанием и рвением. Тогда были созданы целые серии произведений для фортепиано, виолончели, знаменитая Девятая симфония, Торжественная месса.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Отметим, что биография Людвига Бетховена тех лет была наполнена славой, популярностью и признанием. Даже власть, несмотря на его откровенные мысли, не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смела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трогать музыканта. Однако сильные переживания за своего племянника, которого Бетховен взял на попечительство, быстро состарили композитора. А 26 марта 1827 года Бетховен умер от болезни печени.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Многие произведения Людвига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ван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Бетховена стали классикой не только для взрослого слушателя, но и для детей.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Великому композитору установлено около ста памятников по всему миру.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Задания: 1. 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eastAsia="ru-RU"/>
        </w:rPr>
        <w:t>Выделенное и нотные примеры переписать в тетрадь.</w:t>
      </w:r>
    </w:p>
    <w:p>
      <w:pPr>
        <w:spacing w:before="100" w:after="100" w:line="240" w:lineRule="auto"/>
        <w:ind w:right="0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Симфония №5 1 часть (</w:t>
      </w:r>
      <w:r>
        <w:fldChar w:fldCharType="begin"/>
      </w:r>
      <w:r>
        <w:instrText xml:space="preserve">HYPERLINK "https://www.youtube.com/watch?v=7cc6MIXV7dU" </w:instrText>
      </w:r>
      <w:r>
        <w:fldChar w:fldCharType="separate"/>
      </w:r>
      <w:r>
        <w:rPr>
          <w:rStyle w:val="Hyperlink"/>
          <w:rFonts w:ascii="Times New Roman" w:cs="Times New Roman" w:eastAsia="Times New Roman" w:hAnsi="Times New Roman"/>
          <w:sz w:val="28"/>
          <w:szCs w:val="28"/>
          <w:lang w:eastAsia="ru-RU"/>
        </w:rPr>
        <w:t>https://www.youtube.com/watch?v=7cc6MIXV7dU</w:t>
      </w:r>
      <w:r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) послушать и описать характер музыки.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Транспонировать мелодию в тональность си минор: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3" simplePos="0">
                <wp:simplePos x="0" y="0"/>
                <wp:positionH relativeFrom="column">
                  <wp:posOffset>6181725</wp:posOffset>
                </wp:positionH>
                <wp:positionV relativeFrom="paragraph">
                  <wp:posOffset>1104900</wp:posOffset>
                </wp:positionV>
                <wp:extent cx="19050" cy="295275"/>
                <wp:effectExtent l="0" t="0" r="12674" b="818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Shape 3"/>
                      <wps:cNvSpPr>
                        <a:spLocks noGrp="0" noSelect="0" noRot="0" noChangeAspect="0" noMove="0" noResize="0" noAdjustHandles="0" noChangeShapeType="1"/>
                      </wps:cNvSpPr>
                      <wps:spPr>
                        <a:xfrm>
                          <a:off x="0" y="0"/>
                          <a:ext cx="19050" cy="2952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E660BEBE-772A-9033-B4729E916F96" coordsize="21600,21600" style="position:absolute;width:1.5pt;height:23.25pt;margin-top:87pt;margin-left:486.75pt;mso-wrap-distance-left:9.36pt;mso-wrap-distance-right:9.36pt;mso-wrap-distance-top:0pt;mso-wrap-distance-bottom:0pt;rotation:0.000000;z-index:3;" strokecolor="#000000" o:spt="32" o:oned="t" path="m0,0 l21600,21600 e">
                <v:stroke color="#000000" filltype="solid" joinstyle="round" linestyle="single" mitterlimit="800000" weight="1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6645910" cy="165354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>
      <w:pPr>
        <w:rPr>
          <w:rFonts w:ascii="Times New Roman" w:cs="Times New Roman" w:hAnsi="Times New Roman"/>
          <w:sz w:val="28"/>
          <w:szCs w:val="28"/>
        </w:rPr>
      </w:pPr>
    </w:p>
    <w:p/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Карелина</dc:creator>
  <cp:lastModifiedBy>Елизавета Карелина</cp:lastModifiedBy>
</cp:coreProperties>
</file>